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B379FE1" w14:textId="4366067B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59118B5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A6D8E00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ED8352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 xml:space="preserve">Solve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D3BB3A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 xml:space="preserve">Solve 4:9 = 20:x.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EC28320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>Five markers cost $15. What is the cost of 9 markers?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2D4169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>A car travels 96 km in 4 hours. How far in 7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E332A5E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>A map uses 3 cm for 75 km. How far for 8 cm?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BED2E17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 xml:space="preserve">Explain why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t xml:space="preserve"> is not a true proportion.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50E0F4E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>Solve one problem with a unit rate and one with cross-products.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76E1334" w14:textId="77777777" w:rsidR="008469AA" w:rsidRDefault="00000000">
      <w:pPr>
        <w:pStyle w:val="Compact"/>
        <w:keepNext/>
        <w:numPr>
          <w:ilvl w:val="0"/>
          <w:numId w:val="219"/>
        </w:numPr>
      </w:pPr>
      <w:r>
        <w:t>Identify a situation that is not proportional and explain why.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4E39300" w14:textId="77777777" w:rsidR="008469AA" w:rsidRDefault="00000000">
      <w:bookmarkStart w:id="617" w:name="independent-practice-worksheet-b_Copy_12"/>
      <w:r>
        <w:rPr>
          <w:noProof/>
        </w:rPr>
        <mc:AlternateContent>
          <mc:Choice Requires="wps">
            <w:drawing>
              <wp:inline distT="0" distB="0" distL="0" distR="0" wp14:anchorId="59E9754E" wp14:editId="6C461ECE">
                <wp:extent cx="5143500" cy="15440"/>
                <wp:effectExtent l="0" t="0" r="0" b="0"/>
                <wp:docPr id="429" name="Rectangle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49D3BAD" id="Rectangle 429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617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13: Solving Proportions with More Than One Strategy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